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6" w:rsidRPr="00F34021" w:rsidRDefault="00E01680" w:rsidP="00E01680">
      <w:pPr>
        <w:pStyle w:val="Titolo1"/>
        <w:numPr>
          <w:ilvl w:val="0"/>
          <w:numId w:val="0"/>
        </w:numPr>
        <w:jc w:val="left"/>
        <w:rPr>
          <w:rFonts w:ascii="Calibri" w:hAnsi="Calibri"/>
          <w:lang w:val="it-IT"/>
        </w:rPr>
      </w:pPr>
      <w:r w:rsidRPr="00F34021">
        <w:rPr>
          <w:rFonts w:ascii="Calibri" w:hAnsi="Calibri"/>
          <w:lang w:val="it-IT"/>
        </w:rPr>
        <w:t xml:space="preserve">                                  </w:t>
      </w:r>
      <w:r w:rsidR="00B75B90" w:rsidRPr="00F34021">
        <w:rPr>
          <w:rFonts w:ascii="Calibri" w:hAnsi="Calibri"/>
          <w:lang w:val="it-IT"/>
        </w:rPr>
        <w:t>INFORMATIVA AI SENSI DELL'ARTICOLO 13 DEL D.Lgs. 196/03</w:t>
      </w:r>
    </w:p>
    <w:p w:rsidR="00B75B90" w:rsidRPr="00F34021" w:rsidRDefault="00A70E70" w:rsidP="00B75B90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Gentile Cliente,</w:t>
      </w:r>
    </w:p>
    <w:p w:rsidR="00A70E70" w:rsidRPr="00F34021" w:rsidRDefault="00A70E70" w:rsidP="00B75B90">
      <w:pPr>
        <w:suppressAutoHyphens w:val="0"/>
        <w:autoSpaceDE w:val="0"/>
        <w:autoSpaceDN w:val="0"/>
        <w:adjustRightInd w:val="0"/>
        <w:ind w:left="-720"/>
        <w:rPr>
          <w:rFonts w:ascii="Calibri" w:hAnsi="Calibri" w:cs="Arial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ai sensi dell'art. 13 del D. Lgs. 196 del 30 giugno 2003, e in relazione ai Suoi dati personali, di cui </w:t>
      </w:r>
      <w:r w:rsidR="002B7E39" w:rsidRPr="00F34021">
        <w:rPr>
          <w:rFonts w:ascii="Calibri" w:hAnsi="Calibri"/>
          <w:color w:val="000000"/>
          <w:sz w:val="20"/>
          <w:szCs w:val="20"/>
          <w:lang w:eastAsia="it-IT"/>
        </w:rPr>
        <w:t>Aletheia Broker S.p.A.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,</w:t>
      </w:r>
      <w:r w:rsidR="00B75B9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in qualità di Titolare del Trattamento, entrerà in possesso, informiamo di quanto segue</w:t>
      </w:r>
      <w:r w:rsidRPr="00F34021">
        <w:rPr>
          <w:rFonts w:ascii="Calibri" w:hAnsi="Calibri" w:cs="Arial"/>
          <w:color w:val="000000"/>
          <w:sz w:val="20"/>
          <w:szCs w:val="20"/>
          <w:lang w:eastAsia="it-IT"/>
        </w:rPr>
        <w:t>:</w:t>
      </w:r>
    </w:p>
    <w:p w:rsidR="0051296B" w:rsidRPr="008D070F" w:rsidRDefault="0051296B" w:rsidP="00A70E7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</w:pPr>
      <w:r w:rsidRPr="00F34021">
        <w:rPr>
          <w:rFonts w:ascii="Calibri" w:hAnsi="Calibri" w:cs="Arial"/>
          <w:b/>
          <w:color w:val="000000"/>
          <w:sz w:val="20"/>
          <w:szCs w:val="20"/>
          <w:lang w:eastAsia="it-IT"/>
        </w:rPr>
        <w:t>1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. FINALITÀ DEL TRATTAMENTO DEI DATI</w:t>
      </w:r>
    </w:p>
    <w:p w:rsidR="00A70E70" w:rsidRPr="00F34021" w:rsidRDefault="0051296B" w:rsidP="000A1616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Il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trattamento: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a)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è diretto all’espletamento da parte di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Aletheia Broker S.p.A.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delle finalità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di conclusione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, gestione ed 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>esecuzione del contratto e gestione dei sinistri attinenti esclusivamente all'esercizio dell'attività assicurativa e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riassicurativa; </w:t>
      </w:r>
      <w:r w:rsidR="00A70E70" w:rsidRPr="00F34021">
        <w:rPr>
          <w:rFonts w:ascii="Calibri" w:hAnsi="Calibri"/>
          <w:b/>
          <w:color w:val="000000"/>
          <w:sz w:val="20"/>
          <w:szCs w:val="20"/>
          <w:lang w:eastAsia="it-IT"/>
        </w:rPr>
        <w:t>b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>) può anche essere diretto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>, previo consenso,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all'espletamento da parte del Titolare 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delle attività di informazione 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promozione commerciale dei servizi di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Aletheia Broker </w:t>
      </w:r>
      <w:r w:rsidR="00A14257" w:rsidRPr="00F34021">
        <w:rPr>
          <w:rFonts w:ascii="Calibri" w:hAnsi="Calibri"/>
          <w:color w:val="000000"/>
          <w:sz w:val="20"/>
          <w:szCs w:val="20"/>
          <w:lang w:eastAsia="it-IT"/>
        </w:rPr>
        <w:t>S.p.A.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>e delle</w:t>
      </w:r>
      <w:r w:rsidR="00A70E7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società collegate.</w:t>
      </w:r>
    </w:p>
    <w:p w:rsidR="0051296B" w:rsidRPr="00F80F32" w:rsidRDefault="0051296B" w:rsidP="0051296B">
      <w:pPr>
        <w:suppressAutoHyphens w:val="0"/>
        <w:autoSpaceDE w:val="0"/>
        <w:autoSpaceDN w:val="0"/>
        <w:adjustRightInd w:val="0"/>
        <w:ind w:left="-720"/>
        <w:rPr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 w:cs="Arial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 w:cs="Arial"/>
          <w:b/>
          <w:color w:val="000000"/>
          <w:sz w:val="20"/>
          <w:szCs w:val="20"/>
          <w:lang w:eastAsia="it-IT"/>
        </w:rPr>
        <w:t xml:space="preserve">2.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MODALITÀ DEL TRATTAMENTO</w:t>
      </w:r>
    </w:p>
    <w:p w:rsidR="00A70E70" w:rsidRPr="00F34021" w:rsidRDefault="00A70E70" w:rsidP="00F82905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Il trattamento: è realizzato per mezzo di operazioni o complessi di operazioni indicate all'art. 4, comma 1 lett. a)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del D. Lgs. 196/03: raccolta, registrazione, organizzazione, conservazione, elaborazione, modificazione,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raffronto, interconnessione, selezione, estrazione, consultazione, comunicazione, blocco, cancellazione e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distruzione; è effettuato con o senza l'ausilio di mezzi elettronici o comunque automatizzati; è svolto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dall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>'organizzazione del Titolare e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da società di fiducia. Tali società sono dirette collaboratrici di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Aletheia Broker </w:t>
      </w:r>
      <w:r w:rsidR="00A14257" w:rsidRPr="00F34021">
        <w:rPr>
          <w:rFonts w:ascii="Calibri" w:hAnsi="Calibri"/>
          <w:color w:val="000000"/>
          <w:sz w:val="20"/>
          <w:szCs w:val="20"/>
          <w:lang w:eastAsia="it-IT"/>
        </w:rPr>
        <w:t>S.p.A.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e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operano in totale autonomia come distinti titolari del trattamento di dati personali, obbligati ad adempiere in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proprio alla normativa in materia di protezione dei dati personali. Si tratta in modo particolare di società che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svolgono servizi di piazzamento rischi, archiviazione della documentazione relativa ai rapporti intercorsi con la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clientela, perizie, gestione e liquidazione sinistri.</w:t>
      </w:r>
    </w:p>
    <w:p w:rsidR="0051296B" w:rsidRPr="00F80F32" w:rsidRDefault="0051296B" w:rsidP="0051296B">
      <w:pPr>
        <w:suppressAutoHyphens w:val="0"/>
        <w:autoSpaceDE w:val="0"/>
        <w:autoSpaceDN w:val="0"/>
        <w:adjustRightInd w:val="0"/>
        <w:ind w:left="-720"/>
        <w:rPr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3.</w:t>
      </w:r>
      <w:r w:rsidR="001F443A"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CONFERIMENTO DEI DATI</w:t>
      </w:r>
    </w:p>
    <w:p w:rsidR="0051296B" w:rsidRPr="00F34021" w:rsidRDefault="00A70E70" w:rsidP="008D070F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La raccolta dei dati può avvenire presso l'inter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essato ovvero presso la sede di Aletheia Broker S.p.A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. ove è effettuato il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trattamento.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Il conferimento di dati personali comuni, sensibili e, se del caso, giudiziari, è indispensabile ai</w:t>
      </w:r>
      <w:r w:rsidR="0051296B"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fini dello svolgimento delle attività di cui al punto 1.a)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ossia: conclusione di nuovi contratti, gestione ed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esecuzione dei rapporti in essere, inclusa gestione e liquidazione dei sinistri. Il consenso al trattamento di tali dati</w:t>
      </w:r>
      <w:r w:rsidR="0051296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997E0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è invece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facoltativo ai fini dello svolgimento delle attività di cui al punto 1.b)</w:t>
      </w:r>
    </w:p>
    <w:p w:rsidR="008D070F" w:rsidRPr="00F34021" w:rsidRDefault="008D070F" w:rsidP="008D070F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</w:p>
    <w:p w:rsidR="000A1616" w:rsidRPr="00F34021" w:rsidRDefault="00A70E70" w:rsidP="000A1616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4.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RIFIUTO DI CONFERIMENTO DEI DATI</w:t>
      </w:r>
    </w:p>
    <w:p w:rsidR="00A70E70" w:rsidRPr="00F34021" w:rsidRDefault="00A70E70" w:rsidP="000A1616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L'eventuale rifiuto</w:t>
      </w:r>
      <w:r w:rsidR="00F82905"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da</w:t>
      </w:r>
      <w:r w:rsidR="001F443A"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parte dell'interessato</w:t>
      </w:r>
      <w:r w:rsidR="00F82905" w:rsidRPr="00F34021">
        <w:rPr>
          <w:rFonts w:ascii="Calibri" w:hAnsi="Calibri"/>
          <w:b/>
          <w:color w:val="000000"/>
          <w:sz w:val="20"/>
          <w:szCs w:val="20"/>
          <w:lang w:eastAsia="it-IT"/>
        </w:rPr>
        <w:t>, di conferire i d</w:t>
      </w:r>
      <w:r w:rsidR="00997E03" w:rsidRPr="00F34021">
        <w:rPr>
          <w:rFonts w:ascii="Calibri" w:hAnsi="Calibri"/>
          <w:b/>
          <w:color w:val="000000"/>
          <w:sz w:val="20"/>
          <w:szCs w:val="20"/>
          <w:lang w:eastAsia="it-IT"/>
        </w:rPr>
        <w:t>ati personali di cui al punto 3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, relativamente alla finalità di cui al punto 1.a)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,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comporta l'impossibilità di adempiere a quanto</w:t>
      </w:r>
      <w:r w:rsidR="000A1616"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previsto </w:t>
      </w:r>
      <w:r w:rsidR="00F82905" w:rsidRPr="00F34021">
        <w:rPr>
          <w:rFonts w:ascii="Calibri" w:hAnsi="Calibri"/>
          <w:b/>
          <w:color w:val="000000"/>
          <w:sz w:val="20"/>
          <w:szCs w:val="20"/>
          <w:lang w:eastAsia="it-IT"/>
        </w:rPr>
        <w:t>dai contratti di assicurazione o di gestire e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 liquidare i sinistri.</w:t>
      </w:r>
    </w:p>
    <w:p w:rsidR="00A70E70" w:rsidRPr="00F34021" w:rsidRDefault="00A70E70" w:rsidP="00997E0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L'eventuale 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>rifiuto al conferimento dei dati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di cui al punto 3, per la finalità 1.b), non comporta alcuna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conseguenza sui rapporti giuridici in essere ovvero in corso di costituzione, ma preclude a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Aletheia Broker S.p.A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>.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la</w:t>
      </w:r>
      <w:r w:rsidR="008D70F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997E0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possibilità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di svolgere attività di informazione e di promozione commerciale sui propri servizi nei confronti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dell'interessato.</w:t>
      </w:r>
    </w:p>
    <w:p w:rsidR="00D57487" w:rsidRPr="00F80F32" w:rsidRDefault="00D57487" w:rsidP="0051296B">
      <w:pPr>
        <w:suppressAutoHyphens w:val="0"/>
        <w:autoSpaceDE w:val="0"/>
        <w:autoSpaceDN w:val="0"/>
        <w:adjustRightInd w:val="0"/>
        <w:ind w:left="-720"/>
        <w:rPr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5.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COMUNICAZIONE DEI DATI</w:t>
      </w:r>
    </w:p>
    <w:p w:rsidR="00A70E70" w:rsidRPr="00F34021" w:rsidRDefault="00A70E70" w:rsidP="003F0510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I dati perso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>nali possono essere comunicati -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per le finalità di cui al punto 1.a) e per essere sottoposti a trattamenti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aventi le medesime finalità ovvero obbligatori per legge - agli altri soggetti del settore assicurativo, quali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assicuratori, coassicuratori e riassicuratori; agenti, subagenti, produttori di agenzia; legali, periti, enti o imprese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convenzionati; società di servizi a cui siano affidati la gestione, la liquidazione ed il pagamento dei sinistri;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società di servizi informatici o di archiviazione; società collegate; Ministero del Lavoro e delle Politiche Sociali e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altre banche dati nei confronti delle quali la comunicazione dei dati è obbligatoria (ad esempio, Casellario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centrale infortuni, Motorizzazione Civile e dei trasporti in concessione); altri enti pubblici. Tali soggetti operano</w:t>
      </w:r>
      <w:r w:rsidR="000A161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in totale autonomia come distinti Titolari del trattamento di dati personali, 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e sono obbligati ad adempiere in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proprio alla legge. L'elenco dei destinatari delle comunicazioni dei dati personali può essere gratuitamente messo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a conoscenza dell'interessato, mediante richiesta scritta alla struttura incaricata 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(p.to 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>9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>)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ai sens</w:t>
      </w:r>
      <w:r w:rsidR="00F82905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i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dell'art. 7 del D. Lgs. 196/03.</w:t>
      </w:r>
    </w:p>
    <w:p w:rsidR="00997E03" w:rsidRDefault="00997E03" w:rsidP="003F0510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</w:p>
    <w:p w:rsidR="008D70F1" w:rsidRPr="00F34021" w:rsidRDefault="008D70F1" w:rsidP="003F0510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</w:p>
    <w:p w:rsidR="008D070F" w:rsidRDefault="008D070F" w:rsidP="008D070F">
      <w:pPr>
        <w:suppressAutoHyphens w:val="0"/>
        <w:autoSpaceDE w:val="0"/>
        <w:autoSpaceDN w:val="0"/>
        <w:adjustRightInd w:val="0"/>
        <w:ind w:left="-720"/>
        <w:rPr>
          <w:b/>
          <w:color w:val="000000"/>
          <w:sz w:val="20"/>
          <w:szCs w:val="20"/>
          <w:lang w:eastAsia="it-IT"/>
        </w:rPr>
      </w:pPr>
    </w:p>
    <w:p w:rsidR="008D070F" w:rsidRPr="00F34021" w:rsidRDefault="00A70E70" w:rsidP="008D070F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lastRenderedPageBreak/>
        <w:t>6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. DIFFUSIONE DEI DATI</w:t>
      </w:r>
    </w:p>
    <w:p w:rsidR="008D070F" w:rsidRPr="00F34021" w:rsidRDefault="00A70E70" w:rsidP="00DC5115">
      <w:pPr>
        <w:suppressAutoHyphens w:val="0"/>
        <w:autoSpaceDE w:val="0"/>
        <w:autoSpaceDN w:val="0"/>
        <w:adjustRightInd w:val="0"/>
        <w:ind w:left="-720"/>
        <w:rPr>
          <w:rFonts w:ascii="Calibri" w:hAnsi="Calibri" w:cs="TimesNewRoman,Bold"/>
          <w:b/>
          <w:bCs/>
          <w:color w:val="000000"/>
          <w:sz w:val="20"/>
          <w:szCs w:val="20"/>
          <w:lang w:eastAsia="it-IT"/>
        </w:rPr>
      </w:pPr>
      <w:r w:rsidRPr="00F34021">
        <w:rPr>
          <w:rFonts w:ascii="Calibri" w:hAnsi="Calibri" w:cs="TimesNewRoman,Bold"/>
          <w:b/>
          <w:bCs/>
          <w:color w:val="000000"/>
          <w:sz w:val="20"/>
          <w:szCs w:val="20"/>
          <w:lang w:eastAsia="it-IT"/>
        </w:rPr>
        <w:t>I dati personali non sono soggetti a diffusione.</w:t>
      </w:r>
    </w:p>
    <w:p w:rsidR="00C35DFB" w:rsidRPr="00F34021" w:rsidRDefault="00C35DFB" w:rsidP="00DC5115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</w:p>
    <w:p w:rsidR="00C35DFB" w:rsidRPr="00F34021" w:rsidRDefault="00C35DFB" w:rsidP="00DC5115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7.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TRASFERIMENTO DEI DATI ALL'ESTERO</w:t>
      </w:r>
    </w:p>
    <w:p w:rsidR="00A70E70" w:rsidRPr="00F34021" w:rsidRDefault="00A70E70" w:rsidP="001D1513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I dati personali possono essere trasferiti esclusivamente verso le sedi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Aletheia Broker S.p.A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. </w:t>
      </w:r>
      <w:r w:rsidR="00C35DF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o delle società collegate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presenti sia nei Paesi</w:t>
      </w:r>
      <w:r w:rsidR="00C35DF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dell'Unione Europea sia nei Paesi extra europei nell'ambito delle finalità di cui al punto 1.a) e b).</w:t>
      </w:r>
    </w:p>
    <w:p w:rsidR="008D070F" w:rsidRPr="00F34021" w:rsidRDefault="008D070F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8.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DIRITTI DELL'INTERESSATO</w:t>
      </w:r>
    </w:p>
    <w:p w:rsidR="00A70E70" w:rsidRPr="00F34021" w:rsidRDefault="00A70E70" w:rsidP="001D1513">
      <w:pPr>
        <w:suppressAutoHyphens w:val="0"/>
        <w:autoSpaceDE w:val="0"/>
        <w:autoSpaceDN w:val="0"/>
        <w:adjustRightInd w:val="0"/>
        <w:ind w:left="-720"/>
        <w:jc w:val="both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L'art. 7 del D. Lgs. 196/03 conferisce all'interessato l'esercizio di specifici diritti, tra cui quello di ottenere da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Aletheia Broker S.p.A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>.</w:t>
      </w:r>
      <w:r w:rsidR="00C35DF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o dalle società collegate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la conferma dell'esistenza o meno di propri dati personali e la loro messa a disposizione in forma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intelligibile; di avere conoscenza dell'origine dei dati, della finalità e delle modalità del trattamento, della logica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applicata al trattamento, degli estremi identificativi del Titolare, dei responsabili, del rappresentante designato e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dei soggetti o delle categorie di soggetto cui i dati possono essere comunicati. L'interessato ha, inoltre, diritto di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ottenere l'aggiornamento, la rettificazione e l'integrazione dei dati, la cancellazione, la trasformazione in forma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anonima o il blocco dei dati trattati in violazione della legge; nonché quello di opporsi, per motivi legittimi, al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trattamento dei dati. L'Interessato ha facoltà di esercitare i propri diritti in ogni momento, secondo quanto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stabilito dall'art. 8 del D. Lgs.</w:t>
      </w:r>
      <w:r w:rsidR="00A14257">
        <w:rPr>
          <w:rFonts w:ascii="Calibri" w:hAnsi="Calibri"/>
          <w:color w:val="000000"/>
          <w:sz w:val="20"/>
          <w:szCs w:val="20"/>
          <w:lang w:eastAsia="it-IT"/>
        </w:rPr>
        <w:t xml:space="preserve"> 196/03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, scrivendo al Responsabile del trattamento a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Roma 00198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– via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Tevere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>,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20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o all’indirizzo e-mail </w:t>
      </w:r>
      <w:hyperlink r:id="rId8" w:history="1">
        <w:r w:rsidR="009A0AB0" w:rsidRPr="00F34021">
          <w:rPr>
            <w:rStyle w:val="Collegamentoipertestuale"/>
            <w:rFonts w:ascii="Calibri" w:hAnsi="Calibri"/>
            <w:sz w:val="20"/>
            <w:szCs w:val="20"/>
            <w:lang w:eastAsia="it-IT"/>
          </w:rPr>
          <w:t>privacy@aletheiabroker.it</w:t>
        </w:r>
      </w:hyperlink>
      <w:r w:rsidR="009A0AB0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o al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numero di fax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06 91511148</w:t>
      </w:r>
    </w:p>
    <w:p w:rsidR="008D070F" w:rsidRPr="00F34021" w:rsidRDefault="008D070F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b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 xml:space="preserve">9. </w:t>
      </w:r>
      <w:r w:rsidRPr="00F34021">
        <w:rPr>
          <w:rFonts w:ascii="Calibri" w:hAnsi="Calibri"/>
          <w:b/>
          <w:color w:val="000000"/>
          <w:sz w:val="20"/>
          <w:szCs w:val="20"/>
          <w:u w:val="single"/>
          <w:lang w:eastAsia="it-IT"/>
        </w:rPr>
        <w:t>TITOLARE E RESPONSABILE DEL TRATTAMENTO</w:t>
      </w:r>
    </w:p>
    <w:p w:rsidR="00A70E70" w:rsidRPr="00F34021" w:rsidRDefault="00A70E70" w:rsidP="001D151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Titolare del trattamento è </w:t>
      </w:r>
      <w:r w:rsidR="008D070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di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Aletheia Broker </w:t>
      </w:r>
      <w:r w:rsidR="00A14257" w:rsidRPr="00F34021">
        <w:rPr>
          <w:rFonts w:ascii="Calibri" w:hAnsi="Calibri"/>
          <w:color w:val="000000"/>
          <w:sz w:val="20"/>
          <w:szCs w:val="20"/>
          <w:lang w:eastAsia="it-IT"/>
        </w:rPr>
        <w:t>S.p.A.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con sede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8C1A56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in via 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Tevere, 20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-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001</w:t>
      </w:r>
      <w:r w:rsidR="008C1A56" w:rsidRPr="00F34021">
        <w:rPr>
          <w:rFonts w:ascii="Calibri" w:hAnsi="Calibri"/>
          <w:color w:val="000000"/>
          <w:sz w:val="20"/>
          <w:szCs w:val="20"/>
          <w:lang w:eastAsia="it-IT"/>
        </w:rPr>
        <w:t>98</w:t>
      </w:r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Roma e sedi secondarie</w:t>
      </w:r>
      <w:r w:rsidR="008D70F1">
        <w:rPr>
          <w:rFonts w:ascii="Calibri" w:hAnsi="Calibri"/>
          <w:color w:val="000000"/>
          <w:sz w:val="20"/>
          <w:szCs w:val="20"/>
          <w:lang w:eastAsia="it-IT"/>
        </w:rPr>
        <w:t xml:space="preserve"> a Milano in Largo Richini</w:t>
      </w:r>
      <w:r w:rsidR="00B1111F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, </w:t>
      </w:r>
      <w:r w:rsidR="008D70F1">
        <w:rPr>
          <w:rFonts w:ascii="Calibri" w:hAnsi="Calibri"/>
          <w:color w:val="000000"/>
          <w:sz w:val="20"/>
          <w:szCs w:val="20"/>
          <w:lang w:eastAsia="it-IT"/>
        </w:rPr>
        <w:t>6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1D1513" w:rsidRPr="00F34021">
        <w:rPr>
          <w:rFonts w:ascii="Calibri" w:hAnsi="Calibri"/>
          <w:color w:val="000000"/>
          <w:sz w:val="20"/>
          <w:szCs w:val="20"/>
          <w:lang w:eastAsia="it-IT"/>
        </w:rPr>
        <w:t>-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="00C73841" w:rsidRPr="00F34021">
        <w:rPr>
          <w:rFonts w:ascii="Calibri" w:hAnsi="Calibri"/>
          <w:color w:val="000000"/>
          <w:sz w:val="20"/>
          <w:szCs w:val="20"/>
          <w:lang w:eastAsia="it-IT"/>
        </w:rPr>
        <w:t>2012</w:t>
      </w:r>
      <w:r w:rsidR="008D70F1">
        <w:rPr>
          <w:rFonts w:ascii="Calibri" w:hAnsi="Calibri"/>
          <w:color w:val="000000"/>
          <w:sz w:val="20"/>
          <w:szCs w:val="20"/>
          <w:lang w:eastAsia="it-IT"/>
        </w:rPr>
        <w:t>2</w:t>
      </w:r>
      <w:r w:rsidR="00C73841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Mila</w:t>
      </w:r>
      <w:r w:rsidR="00A14257">
        <w:rPr>
          <w:rFonts w:ascii="Calibri" w:hAnsi="Calibri"/>
          <w:color w:val="000000"/>
          <w:sz w:val="20"/>
          <w:szCs w:val="20"/>
          <w:lang w:eastAsia="it-IT"/>
        </w:rPr>
        <w:t>no e Firenze in V</w:t>
      </w:r>
      <w:bookmarkStart w:id="0" w:name="_GoBack"/>
      <w:bookmarkEnd w:id="0"/>
      <w:r w:rsidR="00FA08AB" w:rsidRPr="00F34021">
        <w:rPr>
          <w:rFonts w:ascii="Calibri" w:hAnsi="Calibri"/>
          <w:color w:val="000000"/>
          <w:sz w:val="20"/>
          <w:szCs w:val="20"/>
          <w:lang w:eastAsia="it-IT"/>
        </w:rPr>
        <w:t>ia De’ Vespucci, 277 – 50145 Firenze</w:t>
      </w:r>
    </w:p>
    <w:p w:rsidR="00245000" w:rsidRPr="00F34021" w:rsidRDefault="00245000" w:rsidP="001D151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 w:cs="TimesNewRoman,Bold"/>
          <w:b/>
          <w:bCs/>
          <w:color w:val="000000"/>
          <w:sz w:val="20"/>
          <w:szCs w:val="20"/>
          <w:lang w:eastAsia="it-IT"/>
        </w:rPr>
      </w:pPr>
      <w:r w:rsidRPr="00F34021">
        <w:rPr>
          <w:rFonts w:ascii="Calibri" w:hAnsi="Calibri" w:cs="TimesNewRoman,Bold"/>
          <w:b/>
          <w:bCs/>
          <w:color w:val="000000"/>
          <w:sz w:val="20"/>
          <w:szCs w:val="20"/>
          <w:lang w:eastAsia="it-IT"/>
        </w:rPr>
        <w:t>CONSENSO AL TRATTAMENTO DEI DATI PERSONALI COMUNI, SENSIBILI E GIUDIZIARI</w:t>
      </w:r>
    </w:p>
    <w:p w:rsidR="00A70E70" w:rsidRPr="00F34021" w:rsidRDefault="00A70E70" w:rsidP="001D151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Alla luce dell'informativa di cui sopra e ai sensi dell'art. 23 e 26 del D. Lgs. 196/03, chiediamo quindi di esprimere il consenso al trattamento dei dati strettamente necessari per le operazioni e servizi richiesti e</w:t>
      </w:r>
      <w:r w:rsidR="001F443A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più precisamente per:</w:t>
      </w:r>
    </w:p>
    <w:p w:rsidR="001F443A" w:rsidRPr="00F34021" w:rsidRDefault="001F443A" w:rsidP="001D151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i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i/>
          <w:color w:val="000000"/>
          <w:sz w:val="20"/>
          <w:szCs w:val="20"/>
          <w:lang w:eastAsia="it-IT"/>
        </w:rPr>
        <w:t>Selezionare le caselle per le quali si intende esprimere il consenso</w:t>
      </w:r>
    </w:p>
    <w:p w:rsidR="007534C2" w:rsidRPr="00F80F32" w:rsidRDefault="007534C2" w:rsidP="001D1513">
      <w:pPr>
        <w:suppressAutoHyphens w:val="0"/>
        <w:autoSpaceDE w:val="0"/>
        <w:autoSpaceDN w:val="0"/>
        <w:adjustRightInd w:val="0"/>
        <w:ind w:left="-720"/>
        <w:rPr>
          <w:i/>
          <w:color w:val="000000"/>
          <w:sz w:val="20"/>
          <w:szCs w:val="20"/>
          <w:lang w:eastAsia="it-IT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12"/>
        <w:gridCol w:w="8526"/>
      </w:tblGrid>
      <w:tr w:rsidR="007534C2" w:rsidRPr="00F80F32" w:rsidTr="001E633A">
        <w:tc>
          <w:tcPr>
            <w:tcW w:w="720" w:type="dxa"/>
            <w:shd w:val="clear" w:color="auto" w:fill="auto"/>
          </w:tcPr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it-IT"/>
              </w:rPr>
            </w:pPr>
          </w:p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it-IT"/>
              </w:rPr>
            </w:pPr>
            <w:r w:rsidRPr="00F80F32">
              <w:rPr>
                <w:color w:val="000000"/>
                <w:lang w:eastAsia="it-IT"/>
              </w:rPr>
              <w:sym w:font="Wingdings" w:char="F0A8"/>
            </w:r>
          </w:p>
        </w:tc>
        <w:tc>
          <w:tcPr>
            <w:tcW w:w="8734" w:type="dxa"/>
            <w:shd w:val="clear" w:color="auto" w:fill="auto"/>
          </w:tcPr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ind w:left="-720"/>
              <w:rPr>
                <w:color w:val="000000"/>
                <w:sz w:val="20"/>
                <w:szCs w:val="20"/>
                <w:lang w:eastAsia="it-IT"/>
              </w:rPr>
            </w:pPr>
          </w:p>
          <w:p w:rsidR="007534C2" w:rsidRPr="00F34021" w:rsidRDefault="00FF4D2C" w:rsidP="001E633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I</w:t>
            </w:r>
            <w:r w:rsidR="007534C2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l trattamento dei dati personali (ivi compresi eventuali dati sensibili o giudiziari) per le finalità di cui</w:t>
            </w:r>
            <w:r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 al punto 1.a) dell'informativa.</w:t>
            </w:r>
          </w:p>
          <w:p w:rsidR="007534C2" w:rsidRPr="00F80F32" w:rsidRDefault="00FF4D2C" w:rsidP="001E633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L</w:t>
            </w:r>
            <w:r w:rsidR="007534C2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a comunicazione dei dati personali (ivi compresi eventuali dati sensibili o giudiziari) alle categorie di soggetti – e nelle modali</w:t>
            </w:r>
            <w:r w:rsidR="00A14257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tà indicate – di cui al punto 5</w:t>
            </w:r>
            <w:r w:rsidR="007534C2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 della presente informativa, i quali li possono sottoporre a trattamenti aventi le finalità di cui al punto 1.a) della medesima informativa</w:t>
            </w:r>
            <w:r w:rsidR="007534C2" w:rsidRPr="00F80F32">
              <w:rPr>
                <w:color w:val="000000"/>
                <w:sz w:val="20"/>
                <w:szCs w:val="20"/>
                <w:lang w:eastAsia="it-IT"/>
              </w:rPr>
              <w:t xml:space="preserve">. </w:t>
            </w:r>
          </w:p>
        </w:tc>
      </w:tr>
      <w:tr w:rsidR="007534C2" w:rsidRPr="00F80F32" w:rsidTr="001E633A">
        <w:tc>
          <w:tcPr>
            <w:tcW w:w="720" w:type="dxa"/>
            <w:shd w:val="clear" w:color="auto" w:fill="auto"/>
          </w:tcPr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ind w:left="-720"/>
              <w:rPr>
                <w:color w:val="000000"/>
                <w:lang w:eastAsia="it-IT"/>
              </w:rPr>
            </w:pPr>
            <w:r w:rsidRPr="00F80F32">
              <w:rPr>
                <w:color w:val="000000"/>
                <w:lang w:eastAsia="it-IT"/>
              </w:rPr>
              <w:sym w:font="Wingdings" w:char="F0A8"/>
            </w:r>
          </w:p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it-IT"/>
              </w:rPr>
            </w:pPr>
            <w:r w:rsidRPr="00F80F32">
              <w:rPr>
                <w:color w:val="000000"/>
                <w:lang w:eastAsia="it-IT"/>
              </w:rPr>
              <w:sym w:font="Wingdings" w:char="F0A8"/>
            </w:r>
          </w:p>
        </w:tc>
        <w:tc>
          <w:tcPr>
            <w:tcW w:w="8734" w:type="dxa"/>
            <w:shd w:val="clear" w:color="auto" w:fill="auto"/>
          </w:tcPr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  <w:p w:rsidR="007534C2" w:rsidRPr="00F34021" w:rsidRDefault="007534C2" w:rsidP="001E63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Premesso </w:t>
            </w:r>
            <w:r w:rsidR="00FA08AB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Aletheia Broker </w:t>
            </w:r>
            <w:r w:rsidR="00A14257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S.p.A.</w:t>
            </w:r>
            <w:r w:rsidR="00FA08AB"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34021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configurandosi come ente di mediazione, non svolge attività di promozione commerciale in senso stretto, ma al più di aggiornamento sulla disponibilità di nuovi prodotti o soluzioni predisposte dal mercato assicurativo, nel quadro di un miglioramento e/o perfezionamento del programma assicurativo dei Clienti, chiediamo di esprimere il consenso anche per lo svolgimento delle attività di cui al punto 1.b) dell'Informativa.</w:t>
            </w:r>
          </w:p>
          <w:p w:rsidR="007534C2" w:rsidRPr="00F80F32" w:rsidRDefault="007534C2" w:rsidP="001E633A">
            <w:pPr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52062" w:rsidRPr="00F80F32" w:rsidRDefault="00552062" w:rsidP="007534C2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eastAsia="it-IT"/>
        </w:rPr>
      </w:pPr>
    </w:p>
    <w:p w:rsidR="00A70E70" w:rsidRPr="00F34021" w:rsidRDefault="00A70E70" w:rsidP="0051296B">
      <w:pPr>
        <w:suppressAutoHyphens w:val="0"/>
        <w:autoSpaceDE w:val="0"/>
        <w:autoSpaceDN w:val="0"/>
        <w:adjustRightInd w:val="0"/>
        <w:ind w:left="-720"/>
        <w:rPr>
          <w:rFonts w:ascii="Calibri" w:hAnsi="Calibri" w:cs="TimesNewRoman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Per ricevuta comunicazione e consenso al trattamento </w:t>
      </w:r>
      <w:r w:rsidRPr="00F34021">
        <w:rPr>
          <w:rFonts w:ascii="Calibri" w:hAnsi="Calibri"/>
          <w:b/>
          <w:color w:val="000000"/>
          <w:sz w:val="20"/>
          <w:szCs w:val="20"/>
          <w:lang w:eastAsia="it-IT"/>
        </w:rPr>
        <w:t>Firma</w:t>
      </w:r>
      <w:r w:rsidRPr="00F34021">
        <w:rPr>
          <w:rFonts w:ascii="Calibri" w:hAnsi="Calibri"/>
          <w:color w:val="000000"/>
          <w:sz w:val="20"/>
          <w:szCs w:val="20"/>
          <w:lang w:eastAsia="it-IT"/>
        </w:rPr>
        <w:t>:</w:t>
      </w:r>
      <w:r w:rsidR="001F443A" w:rsidRPr="00F34021">
        <w:rPr>
          <w:rFonts w:ascii="Calibri" w:hAnsi="Calibri" w:cs="TimesNewRoman"/>
          <w:color w:val="000000"/>
          <w:sz w:val="20"/>
          <w:szCs w:val="20"/>
          <w:lang w:eastAsia="it-IT"/>
        </w:rPr>
        <w:t xml:space="preserve"> </w:t>
      </w:r>
      <w:r w:rsidR="00DC5115" w:rsidRPr="00F34021">
        <w:rPr>
          <w:rFonts w:ascii="Calibri" w:hAnsi="Calibri" w:cs="TimesNewRoman"/>
          <w:color w:val="000000"/>
          <w:sz w:val="20"/>
          <w:szCs w:val="20"/>
          <w:lang w:eastAsia="it-IT"/>
        </w:rPr>
        <w:t>__________________________________</w:t>
      </w:r>
    </w:p>
    <w:p w:rsidR="00DC5115" w:rsidRPr="00F34021" w:rsidRDefault="00DC5115" w:rsidP="00DC5115">
      <w:pPr>
        <w:suppressAutoHyphens w:val="0"/>
        <w:autoSpaceDE w:val="0"/>
        <w:autoSpaceDN w:val="0"/>
        <w:adjustRightInd w:val="0"/>
        <w:ind w:left="-720"/>
        <w:rPr>
          <w:rFonts w:ascii="Calibri" w:hAnsi="Calibri" w:cs="TimesNewRoman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Data:</w:t>
      </w:r>
      <w:r w:rsidR="001F443A" w:rsidRPr="00F34021">
        <w:rPr>
          <w:rFonts w:ascii="Calibri" w:hAnsi="Calibri" w:cs="TimesNewRoman"/>
          <w:color w:val="000000"/>
          <w:sz w:val="20"/>
          <w:szCs w:val="20"/>
          <w:lang w:eastAsia="it-IT"/>
        </w:rPr>
        <w:t xml:space="preserve"> </w:t>
      </w:r>
      <w:r w:rsidRPr="00F34021">
        <w:rPr>
          <w:rFonts w:ascii="Calibri" w:hAnsi="Calibri" w:cs="TimesNewRoman"/>
          <w:color w:val="000000"/>
          <w:sz w:val="20"/>
          <w:szCs w:val="20"/>
          <w:lang w:eastAsia="it-IT"/>
        </w:rPr>
        <w:t>__________________________________</w:t>
      </w:r>
    </w:p>
    <w:p w:rsidR="00DC5115" w:rsidRPr="00F34021" w:rsidRDefault="00DC5115" w:rsidP="00DC5115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</w:p>
    <w:p w:rsidR="00DC5115" w:rsidRPr="00F34021" w:rsidRDefault="007534C2" w:rsidP="00997E03">
      <w:pPr>
        <w:suppressAutoHyphens w:val="0"/>
        <w:autoSpaceDE w:val="0"/>
        <w:autoSpaceDN w:val="0"/>
        <w:adjustRightInd w:val="0"/>
        <w:ind w:left="-720"/>
        <w:rPr>
          <w:rFonts w:ascii="Calibri" w:hAnsi="Calibri"/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Cognome e Nome / R</w:t>
      </w:r>
      <w:r w:rsidR="00552062" w:rsidRPr="00F34021">
        <w:rPr>
          <w:rFonts w:ascii="Calibri" w:hAnsi="Calibri"/>
          <w:color w:val="000000"/>
          <w:sz w:val="20"/>
          <w:szCs w:val="20"/>
          <w:lang w:eastAsia="it-IT"/>
        </w:rPr>
        <w:t>agione sociale:</w:t>
      </w:r>
      <w:r w:rsidR="00DC5115" w:rsidRPr="00F34021">
        <w:rPr>
          <w:rFonts w:ascii="Calibri" w:hAnsi="Calibri"/>
          <w:color w:val="000000"/>
          <w:sz w:val="20"/>
          <w:szCs w:val="20"/>
          <w:lang w:eastAsia="it-IT"/>
        </w:rPr>
        <w:t xml:space="preserve"> </w:t>
      </w:r>
    </w:p>
    <w:tbl>
      <w:tblPr>
        <w:tblW w:w="516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357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1"/>
        <w:gridCol w:w="361"/>
        <w:gridCol w:w="361"/>
        <w:gridCol w:w="361"/>
        <w:gridCol w:w="361"/>
        <w:gridCol w:w="361"/>
        <w:gridCol w:w="361"/>
      </w:tblGrid>
      <w:tr w:rsidR="00DC5115" w:rsidRPr="00F80F32" w:rsidTr="001E633A">
        <w:tc>
          <w:tcPr>
            <w:tcW w:w="158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F80F32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C5115" w:rsidRPr="00F80F32" w:rsidRDefault="00DC5115" w:rsidP="00DC5115">
      <w:pPr>
        <w:suppressAutoHyphens w:val="0"/>
        <w:autoSpaceDE w:val="0"/>
        <w:autoSpaceDN w:val="0"/>
        <w:adjustRightInd w:val="0"/>
        <w:ind w:left="-720"/>
        <w:rPr>
          <w:color w:val="000000"/>
          <w:sz w:val="20"/>
          <w:szCs w:val="20"/>
          <w:lang w:eastAsia="it-IT"/>
        </w:rPr>
      </w:pPr>
    </w:p>
    <w:p w:rsidR="00DC5115" w:rsidRDefault="00DC5115" w:rsidP="00DC5115">
      <w:pPr>
        <w:suppressAutoHyphens w:val="0"/>
        <w:autoSpaceDE w:val="0"/>
        <w:autoSpaceDN w:val="0"/>
        <w:adjustRightInd w:val="0"/>
        <w:ind w:left="-720"/>
        <w:rPr>
          <w:color w:val="000000"/>
          <w:sz w:val="20"/>
          <w:szCs w:val="20"/>
          <w:lang w:eastAsia="it-IT"/>
        </w:rPr>
      </w:pPr>
      <w:r w:rsidRPr="00F34021">
        <w:rPr>
          <w:rFonts w:ascii="Calibri" w:hAnsi="Calibri"/>
          <w:color w:val="000000"/>
          <w:sz w:val="20"/>
          <w:szCs w:val="20"/>
          <w:lang w:eastAsia="it-IT"/>
        </w:rPr>
        <w:t>Indirizzo</w:t>
      </w:r>
      <w:r w:rsidRPr="00F80F32">
        <w:rPr>
          <w:color w:val="000000"/>
          <w:sz w:val="20"/>
          <w:szCs w:val="20"/>
          <w:lang w:eastAsia="it-IT"/>
        </w:rPr>
        <w:t>:</w:t>
      </w:r>
    </w:p>
    <w:tbl>
      <w:tblPr>
        <w:tblW w:w="516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357"/>
        <w:gridCol w:w="359"/>
        <w:gridCol w:w="35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61"/>
        <w:gridCol w:w="361"/>
        <w:gridCol w:w="361"/>
        <w:gridCol w:w="361"/>
        <w:gridCol w:w="361"/>
        <w:gridCol w:w="361"/>
        <w:gridCol w:w="361"/>
      </w:tblGrid>
      <w:tr w:rsidR="00DC5115" w:rsidRPr="001E633A" w:rsidTr="001E633A">
        <w:tc>
          <w:tcPr>
            <w:tcW w:w="158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pct"/>
            <w:shd w:val="clear" w:color="auto" w:fill="auto"/>
          </w:tcPr>
          <w:p w:rsidR="00DC5115" w:rsidRPr="001E633A" w:rsidRDefault="00DC5115" w:rsidP="001E633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52062" w:rsidRPr="00DC5115" w:rsidRDefault="00552062" w:rsidP="00997E03">
      <w:pPr>
        <w:suppressAutoHyphens w:val="0"/>
        <w:autoSpaceDE w:val="0"/>
        <w:autoSpaceDN w:val="0"/>
        <w:adjustRightInd w:val="0"/>
        <w:rPr>
          <w:lang w:eastAsia="it-IT"/>
        </w:rPr>
      </w:pPr>
    </w:p>
    <w:sectPr w:rsidR="00552062" w:rsidRPr="00DC5115" w:rsidSect="00997E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8" w:right="1466" w:bottom="1985" w:left="181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21" w:rsidRDefault="00F34021">
      <w:r>
        <w:separator/>
      </w:r>
    </w:p>
  </w:endnote>
  <w:endnote w:type="continuationSeparator" w:id="0">
    <w:p w:rsidR="00F34021" w:rsidRDefault="00F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56" w:rsidRPr="00F34021" w:rsidRDefault="008C1A56" w:rsidP="00997E03">
    <w:pPr>
      <w:pStyle w:val="Pidipagina"/>
      <w:tabs>
        <w:tab w:val="clear" w:pos="4819"/>
        <w:tab w:val="center" w:pos="7200"/>
      </w:tabs>
      <w:rPr>
        <w:rFonts w:ascii="Calibri" w:hAnsi="Calibri"/>
        <w:noProof/>
        <w:sz w:val="18"/>
        <w:szCs w:val="18"/>
      </w:rPr>
    </w:pPr>
    <w:r w:rsidRPr="00F34021">
      <w:rPr>
        <w:rFonts w:ascii="Calibri" w:hAnsi="Calibri"/>
        <w:noProof/>
        <w:sz w:val="18"/>
        <w:szCs w:val="18"/>
      </w:rPr>
      <w:fldChar w:fldCharType="begin"/>
    </w:r>
    <w:r w:rsidRPr="00F34021">
      <w:rPr>
        <w:rFonts w:ascii="Calibri" w:hAnsi="Calibri"/>
        <w:noProof/>
        <w:sz w:val="18"/>
        <w:szCs w:val="18"/>
      </w:rPr>
      <w:instrText xml:space="preserve"> FILENAME   \* MERGEFORMAT </w:instrText>
    </w:r>
    <w:r w:rsidRPr="00F34021">
      <w:rPr>
        <w:rFonts w:ascii="Calibri" w:hAnsi="Calibri"/>
        <w:noProof/>
        <w:sz w:val="18"/>
        <w:szCs w:val="18"/>
      </w:rPr>
      <w:fldChar w:fldCharType="separate"/>
    </w:r>
    <w:r w:rsidR="001D7657" w:rsidRPr="00F34021">
      <w:rPr>
        <w:rFonts w:ascii="Calibri" w:hAnsi="Calibri"/>
        <w:noProof/>
        <w:sz w:val="18"/>
        <w:szCs w:val="18"/>
      </w:rPr>
      <w:t>MOD_</w:t>
    </w:r>
    <w:r w:rsidR="009A0AB0" w:rsidRPr="00F34021">
      <w:rPr>
        <w:rFonts w:ascii="Calibri" w:hAnsi="Calibri"/>
        <w:noProof/>
        <w:sz w:val="18"/>
        <w:szCs w:val="18"/>
      </w:rPr>
      <w:t>A</w:t>
    </w:r>
    <w:r w:rsidR="00B21EB3" w:rsidRPr="00F34021">
      <w:rPr>
        <w:rFonts w:ascii="Calibri" w:hAnsi="Calibri"/>
        <w:noProof/>
        <w:sz w:val="18"/>
        <w:szCs w:val="18"/>
      </w:rPr>
      <w:t>letheia_</w:t>
    </w:r>
    <w:r w:rsidR="001D7657" w:rsidRPr="00F34021">
      <w:rPr>
        <w:rFonts w:ascii="Calibri" w:hAnsi="Calibri"/>
        <w:noProof/>
        <w:sz w:val="18"/>
        <w:szCs w:val="18"/>
      </w:rPr>
      <w:t xml:space="preserve">Informativa e Consenso Privacy v </w:t>
    </w:r>
    <w:r w:rsidR="00997E03" w:rsidRPr="00F34021">
      <w:rPr>
        <w:rFonts w:ascii="Calibri" w:hAnsi="Calibri"/>
        <w:noProof/>
        <w:sz w:val="18"/>
        <w:szCs w:val="18"/>
      </w:rPr>
      <w:t>11</w:t>
    </w:r>
    <w:r w:rsidR="001D7657" w:rsidRPr="00F34021">
      <w:rPr>
        <w:rFonts w:ascii="Calibri" w:hAnsi="Calibri"/>
        <w:noProof/>
        <w:sz w:val="18"/>
        <w:szCs w:val="18"/>
      </w:rPr>
      <w:t>_ 20</w:t>
    </w:r>
    <w:r w:rsidR="00B21EB3" w:rsidRPr="00F34021">
      <w:rPr>
        <w:rFonts w:ascii="Calibri" w:hAnsi="Calibri"/>
        <w:noProof/>
        <w:sz w:val="18"/>
        <w:szCs w:val="18"/>
      </w:rPr>
      <w:t>1</w:t>
    </w:r>
    <w:r w:rsidR="00997E03" w:rsidRPr="00F34021">
      <w:rPr>
        <w:rFonts w:ascii="Calibri" w:hAnsi="Calibri"/>
        <w:noProof/>
        <w:sz w:val="18"/>
        <w:szCs w:val="18"/>
      </w:rPr>
      <w:t>7</w:t>
    </w:r>
    <w:r w:rsidRPr="00F34021">
      <w:rPr>
        <w:rFonts w:ascii="Calibri" w:hAnsi="Calibri"/>
        <w:noProof/>
        <w:sz w:val="18"/>
        <w:szCs w:val="18"/>
      </w:rPr>
      <w:fldChar w:fldCharType="end"/>
    </w:r>
    <w:r w:rsidRPr="00F34021">
      <w:rPr>
        <w:rFonts w:ascii="Calibri" w:hAnsi="Calibri"/>
        <w:noProof/>
        <w:sz w:val="18"/>
        <w:szCs w:val="18"/>
      </w:rPr>
      <w:tab/>
      <w:t xml:space="preserve">                  pag. </w:t>
    </w:r>
    <w:r w:rsidRPr="00F34021">
      <w:rPr>
        <w:rFonts w:ascii="Calibri" w:hAnsi="Calibri"/>
        <w:noProof/>
        <w:sz w:val="18"/>
        <w:szCs w:val="18"/>
      </w:rPr>
      <w:fldChar w:fldCharType="begin"/>
    </w:r>
    <w:r w:rsidRPr="00F34021">
      <w:rPr>
        <w:rFonts w:ascii="Calibri" w:hAnsi="Calibri"/>
        <w:noProof/>
        <w:sz w:val="18"/>
        <w:szCs w:val="18"/>
      </w:rPr>
      <w:instrText xml:space="preserve"> PAGE </w:instrText>
    </w:r>
    <w:r w:rsidRPr="00F34021">
      <w:rPr>
        <w:rFonts w:ascii="Calibri" w:hAnsi="Calibri"/>
        <w:noProof/>
        <w:sz w:val="18"/>
        <w:szCs w:val="18"/>
      </w:rPr>
      <w:fldChar w:fldCharType="separate"/>
    </w:r>
    <w:r w:rsidR="003326EE">
      <w:rPr>
        <w:rFonts w:ascii="Calibri" w:hAnsi="Calibri"/>
        <w:noProof/>
        <w:sz w:val="18"/>
        <w:szCs w:val="18"/>
      </w:rPr>
      <w:t>2</w:t>
    </w:r>
    <w:r w:rsidRPr="00F34021">
      <w:rPr>
        <w:rFonts w:ascii="Calibri" w:hAnsi="Calibri"/>
        <w:noProof/>
        <w:sz w:val="18"/>
        <w:szCs w:val="18"/>
      </w:rPr>
      <w:fldChar w:fldCharType="end"/>
    </w:r>
    <w:r w:rsidRPr="00F34021">
      <w:rPr>
        <w:rFonts w:ascii="Calibri" w:hAnsi="Calibri"/>
        <w:noProof/>
        <w:sz w:val="18"/>
        <w:szCs w:val="18"/>
      </w:rPr>
      <w:t xml:space="preserve"> di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56" w:rsidRDefault="008C1A56" w:rsidP="00B45F86">
    <w:pPr>
      <w:pStyle w:val="Pidipagina"/>
      <w:tabs>
        <w:tab w:val="clear" w:pos="4819"/>
        <w:tab w:val="center" w:pos="7200"/>
      </w:tabs>
      <w:rPr>
        <w:sz w:val="18"/>
        <w:szCs w:val="18"/>
      </w:rPr>
    </w:pPr>
  </w:p>
  <w:p w:rsidR="008C1A56" w:rsidRDefault="008C1A56" w:rsidP="00B45F86">
    <w:pPr>
      <w:pStyle w:val="Pidipagina"/>
      <w:tabs>
        <w:tab w:val="clear" w:pos="4819"/>
        <w:tab w:val="center" w:pos="7200"/>
      </w:tabs>
      <w:rPr>
        <w:sz w:val="18"/>
        <w:szCs w:val="18"/>
      </w:rPr>
    </w:pPr>
  </w:p>
  <w:p w:rsidR="008C1A56" w:rsidRDefault="008C1A56" w:rsidP="00B45F86">
    <w:pPr>
      <w:pStyle w:val="Pidipagina"/>
      <w:tabs>
        <w:tab w:val="clear" w:pos="4819"/>
        <w:tab w:val="center" w:pos="7200"/>
      </w:tabs>
      <w:rPr>
        <w:sz w:val="18"/>
        <w:szCs w:val="18"/>
      </w:rPr>
    </w:pPr>
  </w:p>
  <w:p w:rsidR="00997E03" w:rsidRDefault="00997E03" w:rsidP="00B45F86">
    <w:pPr>
      <w:pStyle w:val="Pidipagina"/>
      <w:tabs>
        <w:tab w:val="clear" w:pos="4819"/>
        <w:tab w:val="center" w:pos="7200"/>
      </w:tabs>
      <w:rPr>
        <w:sz w:val="18"/>
        <w:szCs w:val="18"/>
      </w:rPr>
    </w:pPr>
  </w:p>
  <w:p w:rsidR="00997E03" w:rsidRDefault="00997E03" w:rsidP="00B45F86">
    <w:pPr>
      <w:pStyle w:val="Pidipagina"/>
      <w:tabs>
        <w:tab w:val="clear" w:pos="4819"/>
        <w:tab w:val="center" w:pos="7200"/>
      </w:tabs>
      <w:rPr>
        <w:sz w:val="18"/>
        <w:szCs w:val="18"/>
      </w:rPr>
    </w:pPr>
  </w:p>
  <w:p w:rsidR="008C1A56" w:rsidRPr="00F34021" w:rsidRDefault="008C1A56" w:rsidP="00B45F86">
    <w:pPr>
      <w:pStyle w:val="Pidipagina"/>
      <w:tabs>
        <w:tab w:val="clear" w:pos="4819"/>
        <w:tab w:val="center" w:pos="7200"/>
      </w:tabs>
      <w:rPr>
        <w:rFonts w:ascii="Calibri" w:hAnsi="Calibri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1D7657" w:rsidRPr="00F34021">
      <w:rPr>
        <w:rFonts w:ascii="Calibri" w:hAnsi="Calibri"/>
        <w:noProof/>
        <w:sz w:val="18"/>
        <w:szCs w:val="18"/>
      </w:rPr>
      <w:t>MOD_</w:t>
    </w:r>
    <w:r w:rsidR="009A0AB0" w:rsidRPr="00F34021">
      <w:rPr>
        <w:rFonts w:ascii="Calibri" w:hAnsi="Calibri"/>
        <w:noProof/>
        <w:sz w:val="18"/>
        <w:szCs w:val="18"/>
      </w:rPr>
      <w:t>A</w:t>
    </w:r>
    <w:r w:rsidR="00B21EB3" w:rsidRPr="00F34021">
      <w:rPr>
        <w:rFonts w:ascii="Calibri" w:hAnsi="Calibri"/>
        <w:noProof/>
        <w:sz w:val="18"/>
        <w:szCs w:val="18"/>
      </w:rPr>
      <w:t>letheia_</w:t>
    </w:r>
    <w:r w:rsidR="001D7657" w:rsidRPr="00F34021">
      <w:rPr>
        <w:rFonts w:ascii="Calibri" w:hAnsi="Calibri"/>
        <w:noProof/>
        <w:sz w:val="18"/>
        <w:szCs w:val="18"/>
      </w:rPr>
      <w:t xml:space="preserve">Informativa e Consenso Privacy v </w:t>
    </w:r>
    <w:r w:rsidR="00997E03" w:rsidRPr="00F34021">
      <w:rPr>
        <w:rFonts w:ascii="Calibri" w:hAnsi="Calibri"/>
        <w:noProof/>
        <w:sz w:val="18"/>
        <w:szCs w:val="18"/>
      </w:rPr>
      <w:t>11</w:t>
    </w:r>
    <w:r w:rsidR="001D7657" w:rsidRPr="00F34021">
      <w:rPr>
        <w:rFonts w:ascii="Calibri" w:hAnsi="Calibri"/>
        <w:noProof/>
        <w:sz w:val="18"/>
        <w:szCs w:val="18"/>
      </w:rPr>
      <w:t xml:space="preserve">_ </w:t>
    </w:r>
    <w:r w:rsidR="00997E03" w:rsidRPr="00F34021">
      <w:rPr>
        <w:rFonts w:ascii="Calibri" w:hAnsi="Calibri"/>
        <w:noProof/>
        <w:sz w:val="18"/>
        <w:szCs w:val="18"/>
      </w:rPr>
      <w:t>20</w:t>
    </w:r>
    <w:r w:rsidR="00997E03">
      <w:rPr>
        <w:noProof/>
        <w:sz w:val="18"/>
        <w:szCs w:val="18"/>
      </w:rPr>
      <w:t>17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</w:t>
    </w:r>
    <w:r w:rsidRPr="00F34021">
      <w:rPr>
        <w:rFonts w:ascii="Calibri" w:hAnsi="Calibri"/>
        <w:sz w:val="18"/>
        <w:szCs w:val="18"/>
      </w:rPr>
      <w:t xml:space="preserve">pag. </w:t>
    </w:r>
    <w:r w:rsidRPr="00F34021">
      <w:rPr>
        <w:rFonts w:ascii="Calibri" w:hAnsi="Calibri"/>
        <w:sz w:val="18"/>
        <w:szCs w:val="18"/>
      </w:rPr>
      <w:fldChar w:fldCharType="begin"/>
    </w:r>
    <w:r w:rsidRPr="00F34021">
      <w:rPr>
        <w:rFonts w:ascii="Calibri" w:hAnsi="Calibri"/>
        <w:sz w:val="18"/>
        <w:szCs w:val="18"/>
      </w:rPr>
      <w:instrText xml:space="preserve"> PAGE </w:instrText>
    </w:r>
    <w:r w:rsidRPr="00F34021">
      <w:rPr>
        <w:rFonts w:ascii="Calibri" w:hAnsi="Calibri"/>
        <w:sz w:val="18"/>
        <w:szCs w:val="18"/>
      </w:rPr>
      <w:fldChar w:fldCharType="separate"/>
    </w:r>
    <w:r w:rsidR="003326EE">
      <w:rPr>
        <w:rFonts w:ascii="Calibri" w:hAnsi="Calibri"/>
        <w:noProof/>
        <w:sz w:val="18"/>
        <w:szCs w:val="18"/>
      </w:rPr>
      <w:t>1</w:t>
    </w:r>
    <w:r w:rsidRPr="00F34021">
      <w:rPr>
        <w:rFonts w:ascii="Calibri" w:hAnsi="Calibri"/>
        <w:sz w:val="18"/>
        <w:szCs w:val="18"/>
      </w:rPr>
      <w:fldChar w:fldCharType="end"/>
    </w:r>
    <w:r w:rsidRPr="00F34021">
      <w:rPr>
        <w:rFonts w:ascii="Calibri" w:hAnsi="Calibri"/>
        <w:sz w:val="18"/>
        <w:szCs w:val="18"/>
      </w:rPr>
      <w:t xml:space="preserve"> di 2</w:t>
    </w:r>
  </w:p>
  <w:p w:rsidR="008C1A56" w:rsidRDefault="008C1A56" w:rsidP="003147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21" w:rsidRDefault="00F34021">
      <w:r>
        <w:separator/>
      </w:r>
    </w:p>
  </w:footnote>
  <w:footnote w:type="continuationSeparator" w:id="0">
    <w:p w:rsidR="00F34021" w:rsidRDefault="00F3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92" w:type="dxa"/>
      <w:tblLook w:val="01E0" w:firstRow="1" w:lastRow="1" w:firstColumn="1" w:lastColumn="1" w:noHBand="0" w:noVBand="0"/>
    </w:tblPr>
    <w:tblGrid>
      <w:gridCol w:w="10080"/>
    </w:tblGrid>
    <w:tr w:rsidR="008C1A56" w:rsidTr="001E633A">
      <w:tc>
        <w:tcPr>
          <w:tcW w:w="10080" w:type="dxa"/>
          <w:shd w:val="clear" w:color="auto" w:fill="auto"/>
        </w:tcPr>
        <w:p w:rsidR="008C1A56" w:rsidRDefault="005F494B" w:rsidP="001E633A">
          <w:pPr>
            <w:pStyle w:val="Intestazione"/>
            <w:jc w:val="right"/>
          </w:pPr>
          <w:r w:rsidRPr="00A329F1">
            <w:rPr>
              <w:noProof/>
              <w:lang w:eastAsia="it-IT"/>
            </w:rPr>
            <w:drawing>
              <wp:inline distT="0" distB="0" distL="0" distR="0">
                <wp:extent cx="1714500" cy="438150"/>
                <wp:effectExtent l="0" t="0" r="0" b="0"/>
                <wp:docPr id="1" name="Immagine 0" descr="logo-cart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-carta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1A56" w:rsidRDefault="008C1A56" w:rsidP="00997E03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56" w:rsidRDefault="00E01680" w:rsidP="00E01680">
    <w:pPr>
      <w:pStyle w:val="Intestazione"/>
    </w:pPr>
    <w:r>
      <w:rPr>
        <w:noProof/>
        <w:lang w:eastAsia="it-IT"/>
      </w:rPr>
      <w:t xml:space="preserve">                             </w:t>
    </w:r>
    <w:r w:rsidR="005F494B" w:rsidRPr="00A329F1">
      <w:rPr>
        <w:noProof/>
        <w:lang w:eastAsia="it-IT"/>
      </w:rPr>
      <w:drawing>
        <wp:inline distT="0" distB="0" distL="0" distR="0">
          <wp:extent cx="2247900" cy="619125"/>
          <wp:effectExtent l="0" t="0" r="0" b="9525"/>
          <wp:docPr id="2" name="Immagine 0" descr="logo-cart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cart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pStyle w:val="Normalesottolineato"/>
      <w:lvlText w:val="%1."/>
      <w:lvlJc w:val="left"/>
      <w:pPr>
        <w:tabs>
          <w:tab w:val="num" w:pos="851"/>
        </w:tabs>
        <w:ind w:left="851" w:hanging="491"/>
      </w:pPr>
    </w:lvl>
  </w:abstractNum>
  <w:abstractNum w:abstractNumId="3" w15:restartNumberingAfterBreak="0">
    <w:nsid w:val="10B40206"/>
    <w:multiLevelType w:val="hybridMultilevel"/>
    <w:tmpl w:val="AD308A68"/>
    <w:lvl w:ilvl="0" w:tplc="6214061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A7C40DA"/>
    <w:multiLevelType w:val="hybridMultilevel"/>
    <w:tmpl w:val="540A5F7E"/>
    <w:lvl w:ilvl="0" w:tplc="0410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AB4B9B"/>
    <w:multiLevelType w:val="hybridMultilevel"/>
    <w:tmpl w:val="95AEC5F6"/>
    <w:lvl w:ilvl="0" w:tplc="C576C384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282"/>
    <w:multiLevelType w:val="hybridMultilevel"/>
    <w:tmpl w:val="C53645DA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00C3DFE"/>
    <w:multiLevelType w:val="multilevel"/>
    <w:tmpl w:val="95AEC5F6"/>
    <w:lvl w:ilvl="0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09E2"/>
    <w:multiLevelType w:val="hybridMultilevel"/>
    <w:tmpl w:val="AEA6973A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C0819B7"/>
    <w:multiLevelType w:val="hybridMultilevel"/>
    <w:tmpl w:val="543A99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E1FC9"/>
    <w:multiLevelType w:val="hybridMultilevel"/>
    <w:tmpl w:val="EAFC4E3C"/>
    <w:lvl w:ilvl="0" w:tplc="CE08A556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F47447A"/>
    <w:multiLevelType w:val="hybridMultilevel"/>
    <w:tmpl w:val="C7FE011E"/>
    <w:lvl w:ilvl="0" w:tplc="3858FCE6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huvLhiKF3LzfahN7mu3fpV26pCX8yd9BEtJ5GpPr8m7lmJ8xM87qpvpylrxKaOBAyez9J/4K5rbwgCJ8Ab3NA==" w:salt="IEjvXgoA/GA0jqhbb4Wujg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86"/>
    <w:rsid w:val="00057068"/>
    <w:rsid w:val="000A1616"/>
    <w:rsid w:val="000C5018"/>
    <w:rsid w:val="000E2ACB"/>
    <w:rsid w:val="000F6806"/>
    <w:rsid w:val="00133775"/>
    <w:rsid w:val="00191763"/>
    <w:rsid w:val="001B4252"/>
    <w:rsid w:val="001B51AF"/>
    <w:rsid w:val="001D1513"/>
    <w:rsid w:val="001D7657"/>
    <w:rsid w:val="001E633A"/>
    <w:rsid w:val="001F443A"/>
    <w:rsid w:val="00245000"/>
    <w:rsid w:val="002A3E1D"/>
    <w:rsid w:val="002B6FB7"/>
    <w:rsid w:val="002B7E39"/>
    <w:rsid w:val="002F5541"/>
    <w:rsid w:val="00314705"/>
    <w:rsid w:val="003326EE"/>
    <w:rsid w:val="0034440C"/>
    <w:rsid w:val="00344C2F"/>
    <w:rsid w:val="00372729"/>
    <w:rsid w:val="003F0510"/>
    <w:rsid w:val="0041058A"/>
    <w:rsid w:val="00412B59"/>
    <w:rsid w:val="00413E9A"/>
    <w:rsid w:val="00466A30"/>
    <w:rsid w:val="004C4277"/>
    <w:rsid w:val="004E2D90"/>
    <w:rsid w:val="005023D3"/>
    <w:rsid w:val="0051296B"/>
    <w:rsid w:val="00517E55"/>
    <w:rsid w:val="00552062"/>
    <w:rsid w:val="00565C32"/>
    <w:rsid w:val="00574F70"/>
    <w:rsid w:val="005A0261"/>
    <w:rsid w:val="005B1D49"/>
    <w:rsid w:val="005D26DB"/>
    <w:rsid w:val="005F494B"/>
    <w:rsid w:val="00651F42"/>
    <w:rsid w:val="006D25AA"/>
    <w:rsid w:val="007534C2"/>
    <w:rsid w:val="00754B12"/>
    <w:rsid w:val="007714AC"/>
    <w:rsid w:val="007A1A02"/>
    <w:rsid w:val="007B2F51"/>
    <w:rsid w:val="007D6EE3"/>
    <w:rsid w:val="007E25FB"/>
    <w:rsid w:val="007E7CFC"/>
    <w:rsid w:val="00810FE4"/>
    <w:rsid w:val="0088063C"/>
    <w:rsid w:val="008C1A56"/>
    <w:rsid w:val="008D070F"/>
    <w:rsid w:val="008D70F1"/>
    <w:rsid w:val="00940238"/>
    <w:rsid w:val="00981755"/>
    <w:rsid w:val="00984FD0"/>
    <w:rsid w:val="00997E03"/>
    <w:rsid w:val="009A0AB0"/>
    <w:rsid w:val="009E5882"/>
    <w:rsid w:val="00A14257"/>
    <w:rsid w:val="00A40651"/>
    <w:rsid w:val="00A70C3E"/>
    <w:rsid w:val="00A70E70"/>
    <w:rsid w:val="00A84290"/>
    <w:rsid w:val="00B1111F"/>
    <w:rsid w:val="00B131F6"/>
    <w:rsid w:val="00B14719"/>
    <w:rsid w:val="00B21EB3"/>
    <w:rsid w:val="00B45F86"/>
    <w:rsid w:val="00B7198C"/>
    <w:rsid w:val="00B75B90"/>
    <w:rsid w:val="00B77CB2"/>
    <w:rsid w:val="00BA2DAF"/>
    <w:rsid w:val="00BB5EF6"/>
    <w:rsid w:val="00BC0130"/>
    <w:rsid w:val="00BD2C3C"/>
    <w:rsid w:val="00BE2D02"/>
    <w:rsid w:val="00BE602B"/>
    <w:rsid w:val="00BF48B1"/>
    <w:rsid w:val="00C32BFF"/>
    <w:rsid w:val="00C35DFB"/>
    <w:rsid w:val="00C50F79"/>
    <w:rsid w:val="00C73841"/>
    <w:rsid w:val="00C77C89"/>
    <w:rsid w:val="00CC3DA0"/>
    <w:rsid w:val="00CE58C5"/>
    <w:rsid w:val="00D13612"/>
    <w:rsid w:val="00D15C37"/>
    <w:rsid w:val="00D57487"/>
    <w:rsid w:val="00DB4BC0"/>
    <w:rsid w:val="00DC5115"/>
    <w:rsid w:val="00DE0402"/>
    <w:rsid w:val="00DE0A8A"/>
    <w:rsid w:val="00DF28CF"/>
    <w:rsid w:val="00E01680"/>
    <w:rsid w:val="00E37D0B"/>
    <w:rsid w:val="00E40B88"/>
    <w:rsid w:val="00EF42C7"/>
    <w:rsid w:val="00F34021"/>
    <w:rsid w:val="00F80F32"/>
    <w:rsid w:val="00F82905"/>
    <w:rsid w:val="00F90E3F"/>
    <w:rsid w:val="00F954D8"/>
    <w:rsid w:val="00FA08AB"/>
    <w:rsid w:val="00FA2CCC"/>
    <w:rsid w:val="00FA726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61E97A9-A4AB-4CAA-9571-595EB3B2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F86"/>
    <w:pPr>
      <w:suppressAutoHyphens/>
    </w:pPr>
    <w:rPr>
      <w:sz w:val="24"/>
      <w:szCs w:val="24"/>
      <w:lang w:eastAsia="ar-SA"/>
    </w:rPr>
  </w:style>
  <w:style w:type="paragraph" w:styleId="Titolo1">
    <w:name w:val="heading 1"/>
    <w:next w:val="Normale"/>
    <w:qFormat/>
    <w:rsid w:val="00B45F86"/>
    <w:pPr>
      <w:keepNext/>
      <w:numPr>
        <w:numId w:val="1"/>
      </w:numPr>
      <w:shd w:val="clear" w:color="auto" w:fill="FFFFFF"/>
      <w:suppressAutoHyphens/>
      <w:spacing w:before="240" w:after="240"/>
      <w:jc w:val="center"/>
      <w:outlineLvl w:val="0"/>
    </w:pPr>
    <w:rPr>
      <w:rFonts w:ascii="Arial" w:eastAsia="Arial" w:hAnsi="Arial"/>
      <w:b/>
      <w:iCs/>
      <w:color w:val="000000"/>
      <w:spacing w:val="-5"/>
      <w:w w:val="86"/>
      <w:sz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47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471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9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E25FB"/>
    <w:pPr>
      <w:suppressAutoHyphens w:val="0"/>
      <w:spacing w:before="100" w:beforeAutospacing="1" w:after="119"/>
    </w:pPr>
    <w:rPr>
      <w:lang w:eastAsia="it-IT"/>
    </w:rPr>
  </w:style>
  <w:style w:type="character" w:styleId="Collegamentoipertestuale">
    <w:name w:val="Hyperlink"/>
    <w:rsid w:val="00B45F86"/>
    <w:rPr>
      <w:color w:val="0000FF"/>
      <w:u w:val="single"/>
    </w:rPr>
  </w:style>
  <w:style w:type="paragraph" w:customStyle="1" w:styleId="Normalesottolineato">
    <w:name w:val="Normale sottolineato"/>
    <w:next w:val="Normale"/>
    <w:rsid w:val="00B45F86"/>
    <w:pPr>
      <w:numPr>
        <w:numId w:val="3"/>
      </w:numPr>
      <w:tabs>
        <w:tab w:val="left" w:pos="426"/>
      </w:tabs>
      <w:suppressAutoHyphens/>
      <w:spacing w:before="120" w:line="360" w:lineRule="auto"/>
      <w:ind w:left="-360" w:firstLine="0"/>
      <w:jc w:val="both"/>
    </w:pPr>
    <w:rPr>
      <w:rFonts w:eastAsia="Arial"/>
      <w:caps/>
      <w:sz w:val="22"/>
      <w:szCs w:val="22"/>
      <w:u w:val="single"/>
      <w:lang w:eastAsia="ar-SA"/>
    </w:rPr>
  </w:style>
  <w:style w:type="paragraph" w:styleId="Testofumetto">
    <w:name w:val="Balloon Text"/>
    <w:basedOn w:val="Normale"/>
    <w:semiHidden/>
    <w:rsid w:val="00B1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letheiabroke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greteria\00.ORGANIZZAZIONE\sito\doc%20precontrattuale\MARTE%20carta%20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159-62B1-4504-BFC2-1EC5412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MARTE carta Milano</Template>
  <TotalTime>9</TotalTime>
  <Pages>2</Pages>
  <Words>1079</Words>
  <Characters>6545</Characters>
  <Application>Microsoft Office Word</Application>
  <DocSecurity>8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AI SENSI DELL'ARTICOLO 13 DEL D</vt:lpstr>
    </vt:vector>
  </TitlesOfParts>
  <Company>Gruppo GPA</Company>
  <LinksUpToDate>false</LinksUpToDate>
  <CharactersWithSpaces>7609</CharactersWithSpaces>
  <SharedDoc>false</SharedDoc>
  <HLinks>
    <vt:vector size="6" baseType="variant"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mailto:privacy@aletheiabroker.it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DELL'ARTICOLO 13 DEL D</dc:title>
  <dc:subject/>
  <dc:creator>fragio</dc:creator>
  <cp:keywords/>
  <dc:description/>
  <cp:lastModifiedBy>fgiordano</cp:lastModifiedBy>
  <cp:revision>5</cp:revision>
  <cp:lastPrinted>2014-07-08T15:58:00Z</cp:lastPrinted>
  <dcterms:created xsi:type="dcterms:W3CDTF">2017-10-05T12:32:00Z</dcterms:created>
  <dcterms:modified xsi:type="dcterms:W3CDTF">2017-10-05T13:00:00Z</dcterms:modified>
</cp:coreProperties>
</file>